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EB" w:rsidRPr="00177BED" w:rsidRDefault="007D6CEB" w:rsidP="00C27010">
      <w:pPr>
        <w:autoSpaceDE w:val="0"/>
        <w:autoSpaceDN w:val="0"/>
        <w:spacing w:after="0" w:line="240" w:lineRule="auto"/>
        <w:jc w:val="center"/>
        <w:rPr>
          <w:rFonts w:cs="Calibri"/>
          <w:b/>
          <w:lang w:val="lt-LT"/>
        </w:rPr>
      </w:pPr>
      <w:r w:rsidRPr="00177BED">
        <w:rPr>
          <w:rFonts w:cs="Calibri"/>
          <w:b/>
          <w:lang w:val="lt-LT"/>
        </w:rPr>
        <w:t>Teatro diena „Sau, tautai, žmonijai“</w:t>
      </w:r>
      <w:r w:rsidRPr="00177BED">
        <w:rPr>
          <w:rFonts w:cs="Calibri"/>
          <w:b/>
          <w:lang w:val="lt-LT"/>
        </w:rPr>
        <w:br/>
        <w:t>Repeticijų ir maitinimo grafikas</w:t>
      </w:r>
    </w:p>
    <w:tbl>
      <w:tblPr>
        <w:tblpPr w:leftFromText="180" w:rightFromText="180" w:vertAnchor="text" w:horzAnchor="margin" w:tblpY="249"/>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8466"/>
      </w:tblGrid>
      <w:tr w:rsidR="007D6CEB" w:rsidRPr="00177BED" w:rsidTr="007D6CEB">
        <w:tc>
          <w:tcPr>
            <w:tcW w:w="5000" w:type="pct"/>
            <w:gridSpan w:val="2"/>
            <w:shd w:val="clear" w:color="auto" w:fill="C6D9F1"/>
            <w:vAlign w:val="center"/>
          </w:tcPr>
          <w:p w:rsidR="007D6CEB" w:rsidRPr="00177BED" w:rsidRDefault="007D6CEB" w:rsidP="00C27010">
            <w:pPr>
              <w:autoSpaceDE w:val="0"/>
              <w:autoSpaceDN w:val="0"/>
              <w:spacing w:after="0" w:line="240" w:lineRule="auto"/>
              <w:jc w:val="center"/>
              <w:rPr>
                <w:rFonts w:eastAsia="Times New Roman" w:cs="Calibri"/>
                <w:b/>
                <w:sz w:val="20"/>
                <w:szCs w:val="20"/>
                <w:lang w:val="lt-LT" w:eastAsia="lt-LT"/>
              </w:rPr>
            </w:pPr>
            <w:r w:rsidRPr="00177BED">
              <w:rPr>
                <w:rFonts w:eastAsia="Times New Roman" w:cs="Calibri"/>
                <w:b/>
                <w:sz w:val="20"/>
                <w:szCs w:val="20"/>
                <w:lang w:val="lt-LT" w:eastAsia="lt-LT"/>
              </w:rPr>
              <w:t>Liepos 4 d. (trečiadienis)</w:t>
            </w:r>
          </w:p>
        </w:tc>
      </w:tr>
      <w:tr w:rsidR="007D6CEB" w:rsidRPr="00177BED" w:rsidTr="007D6CEB">
        <w:tc>
          <w:tcPr>
            <w:tcW w:w="637" w:type="pct"/>
            <w:vAlign w:val="center"/>
          </w:tcPr>
          <w:p w:rsidR="007D6CEB" w:rsidRPr="00177BED" w:rsidRDefault="007D6CEB" w:rsidP="00C27010">
            <w:pPr>
              <w:autoSpaceDE w:val="0"/>
              <w:autoSpaceDN w:val="0"/>
              <w:spacing w:after="0" w:line="240" w:lineRule="auto"/>
              <w:jc w:val="center"/>
              <w:rPr>
                <w:rFonts w:cs="Calibri"/>
                <w:sz w:val="20"/>
                <w:szCs w:val="20"/>
                <w:lang w:val="lt-LT"/>
              </w:rPr>
            </w:pPr>
            <w:r w:rsidRPr="00177BED">
              <w:rPr>
                <w:rFonts w:cs="Calibri"/>
                <w:sz w:val="20"/>
                <w:szCs w:val="20"/>
                <w:lang w:val="lt-LT"/>
              </w:rPr>
              <w:t>9.00–12.00</w:t>
            </w:r>
          </w:p>
        </w:tc>
        <w:tc>
          <w:tcPr>
            <w:tcW w:w="4363" w:type="pct"/>
          </w:tcPr>
          <w:p w:rsidR="007D6CEB" w:rsidRPr="00177BED" w:rsidRDefault="007D6CEB" w:rsidP="00C27010">
            <w:pPr>
              <w:autoSpaceDE w:val="0"/>
              <w:autoSpaceDN w:val="0"/>
              <w:spacing w:after="0" w:line="240" w:lineRule="auto"/>
              <w:jc w:val="center"/>
              <w:rPr>
                <w:rFonts w:cs="Calibri"/>
                <w:sz w:val="20"/>
                <w:szCs w:val="20"/>
                <w:lang w:val="lt-LT"/>
              </w:rPr>
            </w:pPr>
            <w:r w:rsidRPr="00177BED">
              <w:rPr>
                <w:rFonts w:cs="Calibri"/>
                <w:sz w:val="20"/>
                <w:szCs w:val="20"/>
                <w:lang w:val="lt-LT"/>
              </w:rPr>
              <w:t>Finalinio vaidinimo „Amžinas keleivis“ repeticija Katedros aikštės Didžiojoje scenoje (dalyvauja Šiaulių kultūros centro mėgėjų teatras „Durys“, moksleivių namų vaikų ir jaunimo teatro studija „Kompanija šauni“, Kalvarijos savivaldybės kultūros centro teatras „Titnagas“, Panevėžio rajono Miežiškių kultūros centro teatras, Varėnos kultūros centro Matuizų filialo teatras „Giraitė“, Raseinių rajono kultūros centro mėgėjų teatras „Braižas“, Palangos kultūros ir jaunimo centro „Grubusis“ teatras, Plungės kultūros centro vaikų ir jaunimo teatras „Saula“)</w:t>
            </w:r>
          </w:p>
        </w:tc>
      </w:tr>
      <w:tr w:rsidR="007D6CEB" w:rsidRPr="00177BED" w:rsidTr="007D6CEB">
        <w:tc>
          <w:tcPr>
            <w:tcW w:w="637" w:type="pct"/>
            <w:vAlign w:val="center"/>
          </w:tcPr>
          <w:p w:rsidR="007D6CEB" w:rsidRPr="00177BED" w:rsidRDefault="007D6CEB" w:rsidP="00C27010">
            <w:pPr>
              <w:autoSpaceDE w:val="0"/>
              <w:autoSpaceDN w:val="0"/>
              <w:spacing w:after="0" w:line="240" w:lineRule="auto"/>
              <w:jc w:val="center"/>
              <w:rPr>
                <w:rFonts w:eastAsia="Times New Roman" w:cs="Calibri"/>
                <w:sz w:val="20"/>
                <w:szCs w:val="20"/>
                <w:lang w:val="lt-LT" w:eastAsia="lt-LT"/>
              </w:rPr>
            </w:pPr>
            <w:r w:rsidRPr="00177BED">
              <w:rPr>
                <w:rFonts w:eastAsia="Times New Roman" w:cs="Calibri"/>
                <w:sz w:val="20"/>
                <w:szCs w:val="20"/>
                <w:lang w:val="lt-LT" w:eastAsia="lt-LT"/>
              </w:rPr>
              <w:t>12.00–12.30</w:t>
            </w:r>
          </w:p>
        </w:tc>
        <w:tc>
          <w:tcPr>
            <w:tcW w:w="4363" w:type="pct"/>
          </w:tcPr>
          <w:p w:rsidR="007D6CEB" w:rsidRPr="00177BED" w:rsidRDefault="007D6CEB" w:rsidP="00C27010">
            <w:pPr>
              <w:autoSpaceDE w:val="0"/>
              <w:autoSpaceDN w:val="0"/>
              <w:spacing w:after="0" w:line="240" w:lineRule="auto"/>
              <w:jc w:val="center"/>
              <w:rPr>
                <w:rFonts w:eastAsia="Times New Roman" w:cs="Calibri"/>
                <w:sz w:val="20"/>
                <w:szCs w:val="20"/>
                <w:lang w:val="lt-LT" w:eastAsia="lt-LT"/>
              </w:rPr>
            </w:pPr>
            <w:r w:rsidRPr="00177BED">
              <w:rPr>
                <w:rFonts w:eastAsia="Times New Roman" w:cs="Calibri"/>
                <w:sz w:val="20"/>
                <w:szCs w:val="20"/>
                <w:lang w:val="lt-LT" w:eastAsia="lt-LT"/>
              </w:rPr>
              <w:t>Finalinio kūrinio „Lietuva brangi šalele“ repeticija (dalyvauja visi Teatro dienos dalyviai)</w:t>
            </w:r>
          </w:p>
        </w:tc>
      </w:tr>
      <w:tr w:rsidR="007D6CEB" w:rsidRPr="00177BED" w:rsidTr="007D6CEB">
        <w:tc>
          <w:tcPr>
            <w:tcW w:w="637" w:type="pct"/>
            <w:vAlign w:val="center"/>
          </w:tcPr>
          <w:p w:rsidR="007D6CEB" w:rsidRPr="00177BED" w:rsidRDefault="007D6CEB" w:rsidP="00C27010">
            <w:pPr>
              <w:autoSpaceDE w:val="0"/>
              <w:autoSpaceDN w:val="0"/>
              <w:spacing w:after="0" w:line="240" w:lineRule="auto"/>
              <w:jc w:val="center"/>
              <w:rPr>
                <w:rFonts w:cs="Calibri"/>
                <w:sz w:val="20"/>
                <w:szCs w:val="20"/>
                <w:lang w:val="lt-LT"/>
              </w:rPr>
            </w:pPr>
            <w:r w:rsidRPr="00177BED">
              <w:rPr>
                <w:rFonts w:cs="Calibri"/>
                <w:sz w:val="20"/>
                <w:szCs w:val="20"/>
                <w:lang w:val="lt-LT"/>
              </w:rPr>
              <w:t>13.00–17.00</w:t>
            </w:r>
          </w:p>
        </w:tc>
        <w:tc>
          <w:tcPr>
            <w:tcW w:w="4363" w:type="pct"/>
          </w:tcPr>
          <w:p w:rsidR="007D6CEB" w:rsidRPr="00177BED" w:rsidRDefault="007D6CEB" w:rsidP="00C27010">
            <w:pPr>
              <w:autoSpaceDE w:val="0"/>
              <w:autoSpaceDN w:val="0"/>
              <w:spacing w:after="0" w:line="240" w:lineRule="auto"/>
              <w:jc w:val="center"/>
              <w:rPr>
                <w:rFonts w:cs="Calibri"/>
                <w:sz w:val="20"/>
                <w:szCs w:val="20"/>
                <w:lang w:val="lt-LT"/>
              </w:rPr>
            </w:pPr>
            <w:r w:rsidRPr="00177BED">
              <w:rPr>
                <w:rFonts w:cs="Calibri"/>
                <w:sz w:val="20"/>
                <w:szCs w:val="20"/>
                <w:lang w:val="lt-LT"/>
              </w:rPr>
              <w:t>Teatrų pasirodymai programos dalyse:</w:t>
            </w:r>
          </w:p>
          <w:p w:rsidR="007D6CEB" w:rsidRPr="00177BED" w:rsidRDefault="007D6CEB" w:rsidP="00C27010">
            <w:pPr>
              <w:autoSpaceDE w:val="0"/>
              <w:autoSpaceDN w:val="0"/>
              <w:spacing w:after="0" w:line="240" w:lineRule="auto"/>
              <w:jc w:val="center"/>
              <w:rPr>
                <w:rFonts w:cs="Calibri"/>
                <w:sz w:val="20"/>
                <w:szCs w:val="20"/>
                <w:lang w:val="lt-LT"/>
              </w:rPr>
            </w:pPr>
            <w:r w:rsidRPr="00177BED">
              <w:rPr>
                <w:rFonts w:cs="Calibri"/>
                <w:sz w:val="20"/>
                <w:szCs w:val="20"/>
                <w:lang w:val="lt-LT"/>
              </w:rPr>
              <w:t>„Mes Lietuvos Vaikai“ (vaikų ir jaunimo teatrai),</w:t>
            </w:r>
          </w:p>
          <w:p w:rsidR="007D6CEB" w:rsidRPr="00177BED" w:rsidRDefault="007D6CEB" w:rsidP="00C27010">
            <w:pPr>
              <w:autoSpaceDE w:val="0"/>
              <w:autoSpaceDN w:val="0"/>
              <w:spacing w:after="0" w:line="240" w:lineRule="auto"/>
              <w:jc w:val="center"/>
              <w:rPr>
                <w:rFonts w:cs="Calibri"/>
                <w:sz w:val="20"/>
                <w:szCs w:val="20"/>
                <w:lang w:val="lt-LT"/>
              </w:rPr>
            </w:pPr>
            <w:r w:rsidRPr="00177BED">
              <w:rPr>
                <w:rFonts w:cs="Calibri"/>
                <w:sz w:val="20"/>
                <w:szCs w:val="20"/>
                <w:lang w:val="lt-LT"/>
              </w:rPr>
              <w:t>„Tvirta dora, rankoj ranka“ (lėlių teatrai),</w:t>
            </w:r>
          </w:p>
          <w:p w:rsidR="007D6CEB" w:rsidRPr="00177BED" w:rsidRDefault="007D6CEB" w:rsidP="00C27010">
            <w:pPr>
              <w:autoSpaceDE w:val="0"/>
              <w:autoSpaceDN w:val="0"/>
              <w:spacing w:after="0" w:line="240" w:lineRule="auto"/>
              <w:jc w:val="center"/>
              <w:rPr>
                <w:rFonts w:cs="Calibri"/>
                <w:sz w:val="20"/>
                <w:szCs w:val="20"/>
                <w:lang w:val="lt-LT"/>
              </w:rPr>
            </w:pPr>
            <w:r w:rsidRPr="00177BED">
              <w:rPr>
                <w:rFonts w:cs="Calibri"/>
                <w:sz w:val="20"/>
                <w:szCs w:val="20"/>
                <w:lang w:val="lt-LT"/>
              </w:rPr>
              <w:t>„Iš svajonių gimsta tikrenybės“ (Aukštaitijos regiono mėgėjų teatrai),</w:t>
            </w:r>
          </w:p>
          <w:p w:rsidR="007D6CEB" w:rsidRPr="00177BED" w:rsidRDefault="007D6CEB" w:rsidP="00C27010">
            <w:pPr>
              <w:autoSpaceDE w:val="0"/>
              <w:autoSpaceDN w:val="0"/>
              <w:spacing w:after="0" w:line="240" w:lineRule="auto"/>
              <w:jc w:val="center"/>
              <w:rPr>
                <w:rFonts w:cs="Calibri"/>
                <w:sz w:val="20"/>
                <w:szCs w:val="20"/>
                <w:lang w:val="lt-LT"/>
              </w:rPr>
            </w:pPr>
            <w:r w:rsidRPr="00177BED">
              <w:rPr>
                <w:rFonts w:cs="Calibri"/>
                <w:sz w:val="20"/>
                <w:szCs w:val="20"/>
                <w:lang w:val="lt-LT"/>
              </w:rPr>
              <w:t>„Mumyse yra pasaulio galės“ (Dzūkijos ir Aukštaitijos regionų mėgėjų teatrai),</w:t>
            </w:r>
          </w:p>
          <w:p w:rsidR="007D6CEB" w:rsidRPr="00177BED" w:rsidRDefault="007D6CEB" w:rsidP="00C27010">
            <w:pPr>
              <w:autoSpaceDE w:val="0"/>
              <w:autoSpaceDN w:val="0"/>
              <w:spacing w:after="0" w:line="240" w:lineRule="auto"/>
              <w:jc w:val="center"/>
              <w:rPr>
                <w:rFonts w:cs="Calibri"/>
                <w:sz w:val="20"/>
                <w:szCs w:val="20"/>
                <w:lang w:val="lt-LT"/>
              </w:rPr>
            </w:pPr>
            <w:r w:rsidRPr="00177BED">
              <w:rPr>
                <w:rFonts w:cs="Calibri"/>
                <w:sz w:val="20"/>
                <w:szCs w:val="20"/>
                <w:lang w:val="lt-LT"/>
              </w:rPr>
              <w:t>„Lietuva, tėvyne mūsų“ (vaikų ir jaunimo teatrai),</w:t>
            </w:r>
          </w:p>
          <w:p w:rsidR="007D6CEB" w:rsidRPr="00177BED" w:rsidRDefault="007D6CEB" w:rsidP="00C27010">
            <w:pPr>
              <w:autoSpaceDE w:val="0"/>
              <w:autoSpaceDN w:val="0"/>
              <w:spacing w:after="0" w:line="240" w:lineRule="auto"/>
              <w:jc w:val="center"/>
              <w:rPr>
                <w:rFonts w:cs="Calibri"/>
                <w:sz w:val="20"/>
                <w:szCs w:val="20"/>
                <w:lang w:val="lt-LT"/>
              </w:rPr>
            </w:pPr>
            <w:r w:rsidRPr="00177BED">
              <w:rPr>
                <w:rFonts w:cs="Calibri"/>
                <w:sz w:val="20"/>
                <w:szCs w:val="20"/>
                <w:lang w:val="lt-LT"/>
              </w:rPr>
              <w:t>„Žmonės gintaro šalies“ (Žemaitijos ir Mažosios Lietuvos regionų mėgėjų teatrai),</w:t>
            </w:r>
          </w:p>
          <w:p w:rsidR="007D6CEB" w:rsidRPr="00177BED" w:rsidRDefault="007D6CEB" w:rsidP="00C27010">
            <w:pPr>
              <w:autoSpaceDE w:val="0"/>
              <w:autoSpaceDN w:val="0"/>
              <w:spacing w:after="0" w:line="240" w:lineRule="auto"/>
              <w:jc w:val="center"/>
              <w:rPr>
                <w:rFonts w:cs="Calibri"/>
                <w:sz w:val="20"/>
                <w:szCs w:val="20"/>
                <w:lang w:val="lt-LT"/>
              </w:rPr>
            </w:pPr>
            <w:r w:rsidRPr="00177BED">
              <w:rPr>
                <w:rFonts w:cs="Calibri"/>
                <w:sz w:val="20"/>
                <w:szCs w:val="20"/>
                <w:lang w:val="lt-LT"/>
              </w:rPr>
              <w:t>„Mūsų siela gali dar aukščiau pakilti“ (Suvalkijos regiono mėgėjų teatrai),</w:t>
            </w:r>
          </w:p>
          <w:p w:rsidR="007D6CEB" w:rsidRPr="00177BED" w:rsidRDefault="007D6CEB" w:rsidP="00C27010">
            <w:pPr>
              <w:autoSpaceDE w:val="0"/>
              <w:autoSpaceDN w:val="0"/>
              <w:spacing w:after="0" w:line="240" w:lineRule="auto"/>
              <w:jc w:val="center"/>
              <w:rPr>
                <w:rFonts w:cs="Calibri"/>
                <w:sz w:val="20"/>
                <w:szCs w:val="20"/>
                <w:lang w:val="lt-LT"/>
              </w:rPr>
            </w:pPr>
            <w:r w:rsidRPr="00177BED">
              <w:rPr>
                <w:rFonts w:cs="Calibri"/>
                <w:sz w:val="20"/>
                <w:szCs w:val="20"/>
                <w:lang w:val="lt-LT"/>
              </w:rPr>
              <w:t>„Žmogus – veiksnys kūrybos vyksme“  (Vydūno pjesių vaidinimai)</w:t>
            </w:r>
          </w:p>
        </w:tc>
      </w:tr>
      <w:tr w:rsidR="007D6CEB" w:rsidRPr="00177BED" w:rsidTr="007D6CEB">
        <w:tc>
          <w:tcPr>
            <w:tcW w:w="637" w:type="pct"/>
            <w:vAlign w:val="center"/>
          </w:tcPr>
          <w:p w:rsidR="007D6CEB" w:rsidRPr="00177BED" w:rsidRDefault="007D6CEB" w:rsidP="00C27010">
            <w:pPr>
              <w:autoSpaceDE w:val="0"/>
              <w:autoSpaceDN w:val="0"/>
              <w:spacing w:after="0" w:line="240" w:lineRule="auto"/>
              <w:jc w:val="center"/>
              <w:rPr>
                <w:rFonts w:eastAsia="Times New Roman" w:cs="Calibri"/>
                <w:b/>
                <w:sz w:val="20"/>
                <w:szCs w:val="20"/>
                <w:lang w:val="lt-LT" w:eastAsia="lt-LT"/>
              </w:rPr>
            </w:pPr>
            <w:r w:rsidRPr="00177BED">
              <w:rPr>
                <w:rFonts w:eastAsia="Times New Roman" w:cs="Calibri"/>
                <w:b/>
                <w:sz w:val="20"/>
                <w:szCs w:val="20"/>
                <w:lang w:val="lt-LT" w:eastAsia="lt-LT"/>
              </w:rPr>
              <w:t>14.00–16.00</w:t>
            </w:r>
          </w:p>
        </w:tc>
        <w:tc>
          <w:tcPr>
            <w:tcW w:w="4363" w:type="pct"/>
            <w:vAlign w:val="center"/>
          </w:tcPr>
          <w:p w:rsidR="007D6CEB" w:rsidRPr="00177BED" w:rsidRDefault="007D6CEB" w:rsidP="00C27010">
            <w:pPr>
              <w:autoSpaceDE w:val="0"/>
              <w:autoSpaceDN w:val="0"/>
              <w:spacing w:after="0" w:line="240" w:lineRule="auto"/>
              <w:jc w:val="center"/>
              <w:rPr>
                <w:rFonts w:eastAsia="Times New Roman" w:cs="Calibri"/>
                <w:b/>
                <w:caps/>
                <w:sz w:val="20"/>
                <w:szCs w:val="20"/>
                <w:lang w:val="lt-LT" w:eastAsia="lt-LT"/>
              </w:rPr>
            </w:pPr>
            <w:r w:rsidRPr="00177BED">
              <w:rPr>
                <w:rFonts w:eastAsia="Times New Roman" w:cs="Calibri"/>
                <w:b/>
                <w:caps/>
                <w:sz w:val="20"/>
                <w:szCs w:val="20"/>
                <w:lang w:val="lt-LT" w:eastAsia="lt-LT"/>
              </w:rPr>
              <w:t>Pietūs</w:t>
            </w:r>
          </w:p>
        </w:tc>
      </w:tr>
      <w:tr w:rsidR="007D6CEB" w:rsidRPr="00177BED" w:rsidTr="007D6CEB">
        <w:tc>
          <w:tcPr>
            <w:tcW w:w="637" w:type="pct"/>
            <w:vAlign w:val="center"/>
          </w:tcPr>
          <w:p w:rsidR="007D6CEB" w:rsidRPr="00177BED" w:rsidRDefault="007D6CEB" w:rsidP="00C27010">
            <w:pPr>
              <w:autoSpaceDE w:val="0"/>
              <w:autoSpaceDN w:val="0"/>
              <w:spacing w:after="0" w:line="240" w:lineRule="auto"/>
              <w:jc w:val="center"/>
              <w:rPr>
                <w:rFonts w:eastAsia="Times New Roman" w:cs="Calibri"/>
                <w:sz w:val="20"/>
                <w:szCs w:val="20"/>
                <w:lang w:val="lt-LT" w:eastAsia="lt-LT"/>
              </w:rPr>
            </w:pPr>
            <w:r w:rsidRPr="00177BED">
              <w:rPr>
                <w:rFonts w:eastAsia="Times New Roman" w:cs="Calibri"/>
                <w:sz w:val="20"/>
                <w:szCs w:val="20"/>
                <w:lang w:val="lt-LT" w:eastAsia="lt-LT"/>
              </w:rPr>
              <w:t>18.00–20.30</w:t>
            </w:r>
          </w:p>
        </w:tc>
        <w:tc>
          <w:tcPr>
            <w:tcW w:w="4363" w:type="pct"/>
          </w:tcPr>
          <w:p w:rsidR="007D6CEB" w:rsidRPr="00177BED" w:rsidRDefault="007D6CEB" w:rsidP="00C27010">
            <w:pPr>
              <w:autoSpaceDE w:val="0"/>
              <w:autoSpaceDN w:val="0"/>
              <w:spacing w:after="0" w:line="240" w:lineRule="auto"/>
              <w:jc w:val="center"/>
              <w:rPr>
                <w:rFonts w:eastAsia="Times New Roman" w:cs="Calibri"/>
                <w:sz w:val="20"/>
                <w:szCs w:val="20"/>
                <w:lang w:val="lt-LT" w:eastAsia="lt-LT"/>
              </w:rPr>
            </w:pPr>
            <w:r w:rsidRPr="00177BED">
              <w:rPr>
                <w:rFonts w:eastAsia="Times New Roman" w:cs="Calibri"/>
                <w:sz w:val="20"/>
                <w:szCs w:val="20"/>
                <w:lang w:val="lt-LT" w:eastAsia="lt-LT"/>
              </w:rPr>
              <w:t>Finalinis vaidinimas „Amžinas keleivis“ Katedros aikštės Didžiojoje scenoje (dalyvauja visi Teatro dienos dalyviai)</w:t>
            </w:r>
          </w:p>
        </w:tc>
      </w:tr>
      <w:tr w:rsidR="007D6CEB" w:rsidRPr="00177BED" w:rsidTr="007D6CEB">
        <w:tc>
          <w:tcPr>
            <w:tcW w:w="637" w:type="pct"/>
            <w:vAlign w:val="center"/>
          </w:tcPr>
          <w:p w:rsidR="007D6CEB" w:rsidRPr="00177BED" w:rsidRDefault="007D6CEB" w:rsidP="00C27010">
            <w:pPr>
              <w:autoSpaceDE w:val="0"/>
              <w:autoSpaceDN w:val="0"/>
              <w:spacing w:after="0" w:line="240" w:lineRule="auto"/>
              <w:jc w:val="center"/>
              <w:rPr>
                <w:rFonts w:eastAsia="Times New Roman" w:cs="Calibri"/>
                <w:b/>
                <w:sz w:val="20"/>
                <w:szCs w:val="20"/>
                <w:lang w:val="lt-LT" w:eastAsia="lt-LT"/>
              </w:rPr>
            </w:pPr>
            <w:r w:rsidRPr="00177BED">
              <w:rPr>
                <w:rFonts w:eastAsia="Times New Roman" w:cs="Calibri"/>
                <w:b/>
                <w:sz w:val="20"/>
                <w:szCs w:val="20"/>
                <w:lang w:val="lt-LT" w:eastAsia="lt-LT"/>
              </w:rPr>
              <w:t>20.30–22.00</w:t>
            </w:r>
          </w:p>
        </w:tc>
        <w:tc>
          <w:tcPr>
            <w:tcW w:w="4363" w:type="pct"/>
            <w:vAlign w:val="center"/>
          </w:tcPr>
          <w:p w:rsidR="007D6CEB" w:rsidRPr="00177BED" w:rsidRDefault="007D6CEB" w:rsidP="00C27010">
            <w:pPr>
              <w:autoSpaceDE w:val="0"/>
              <w:autoSpaceDN w:val="0"/>
              <w:spacing w:after="0" w:line="240" w:lineRule="auto"/>
              <w:jc w:val="center"/>
              <w:rPr>
                <w:rFonts w:eastAsia="Times New Roman" w:cs="Calibri"/>
                <w:b/>
                <w:caps/>
                <w:sz w:val="20"/>
                <w:szCs w:val="20"/>
                <w:lang w:val="lt-LT" w:eastAsia="lt-LT"/>
              </w:rPr>
            </w:pPr>
            <w:r w:rsidRPr="00177BED">
              <w:rPr>
                <w:rFonts w:eastAsia="Times New Roman" w:cs="Calibri"/>
                <w:b/>
                <w:caps/>
                <w:sz w:val="20"/>
                <w:szCs w:val="20"/>
                <w:lang w:val="lt-LT" w:eastAsia="lt-LT"/>
              </w:rPr>
              <w:t>Vakarienė</w:t>
            </w:r>
          </w:p>
        </w:tc>
      </w:tr>
    </w:tbl>
    <w:p w:rsidR="007D6CEB" w:rsidRPr="00177BED" w:rsidRDefault="007D6CEB" w:rsidP="00C27010">
      <w:pPr>
        <w:autoSpaceDE w:val="0"/>
        <w:autoSpaceDN w:val="0"/>
        <w:spacing w:after="0" w:line="240" w:lineRule="auto"/>
        <w:jc w:val="center"/>
        <w:rPr>
          <w:rFonts w:cs="Calibri"/>
          <w:lang w:val="lt-LT"/>
        </w:rPr>
      </w:pPr>
    </w:p>
    <w:p w:rsidR="007D6CEB" w:rsidRPr="00177BED" w:rsidRDefault="007D6CEB" w:rsidP="00C27010">
      <w:pPr>
        <w:autoSpaceDE w:val="0"/>
        <w:autoSpaceDN w:val="0"/>
        <w:spacing w:after="0" w:line="240" w:lineRule="auto"/>
        <w:jc w:val="center"/>
        <w:rPr>
          <w:rFonts w:cs="Calibri"/>
          <w:lang w:val="lt-LT"/>
        </w:rPr>
      </w:pPr>
    </w:p>
    <w:p w:rsidR="007D6CEB" w:rsidRPr="00177BED" w:rsidRDefault="007D6CEB" w:rsidP="00C27010">
      <w:pPr>
        <w:jc w:val="right"/>
        <w:rPr>
          <w:rFonts w:cs="Calibri"/>
          <w:b/>
          <w:i/>
          <w:lang w:val="lt-LT"/>
        </w:rPr>
      </w:pPr>
      <w:r w:rsidRPr="00177BED">
        <w:rPr>
          <w:rFonts w:cs="Calibri"/>
          <w:b/>
          <w:i/>
          <w:lang w:val="lt-LT"/>
        </w:rPr>
        <w:t>Direktorius Ramūnas Abukevičius, tel. 8 699 65 912</w:t>
      </w:r>
      <w:r w:rsidRPr="00177BED">
        <w:rPr>
          <w:rFonts w:cs="Calibri"/>
          <w:b/>
          <w:i/>
          <w:lang w:val="lt-LT"/>
        </w:rPr>
        <w:br/>
        <w:t>Koordinatorė Irena Maciulevičienė, tel. 8 674 15 582</w:t>
      </w:r>
    </w:p>
    <w:p w:rsidR="00177C1E" w:rsidRDefault="00177C1E" w:rsidP="00C27010">
      <w:pPr>
        <w:jc w:val="center"/>
      </w:pPr>
      <w:bookmarkStart w:id="0" w:name="_GoBack"/>
      <w:bookmarkEnd w:id="0"/>
    </w:p>
    <w:sectPr w:rsidR="00177C1E" w:rsidSect="007D6CEB">
      <w:pgSz w:w="11907" w:h="16839" w:code="9"/>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EB"/>
    <w:rsid w:val="00177C1E"/>
    <w:rsid w:val="007D6CEB"/>
    <w:rsid w:val="00C2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B63F0-2C09-4F1E-A8CF-F06C22D2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2018-06-26T12:52:00Z</dcterms:created>
  <dcterms:modified xsi:type="dcterms:W3CDTF">2018-06-26T13:42:00Z</dcterms:modified>
</cp:coreProperties>
</file>